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C8FC65">
      <w:pPr>
        <w:jc w:val="left"/>
        <w:rPr>
          <w:rFonts w:hint="default" w:ascii="黑体" w:hAnsi="黑体" w:eastAsia="黑体" w:cs="黑体"/>
          <w:sz w:val="24"/>
          <w:szCs w:val="32"/>
          <w:lang w:val="en-US" w:eastAsia="zh-CN"/>
        </w:rPr>
      </w:pPr>
      <w:r>
        <w:rPr>
          <w:rFonts w:hint="eastAsia" w:ascii="黑体" w:hAnsi="黑体" w:eastAsia="黑体" w:cs="黑体"/>
          <w:sz w:val="24"/>
          <w:szCs w:val="32"/>
          <w:lang w:val="en-US" w:eastAsia="zh-CN"/>
        </w:rPr>
        <w:t>附件9</w:t>
      </w:r>
    </w:p>
    <w:p w14:paraId="67B5AC47">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cs="宋体"/>
          <w:sz w:val="32"/>
          <w:szCs w:val="40"/>
          <w:lang w:val="en-US" w:eastAsia="zh-CN"/>
        </w:rPr>
      </w:pPr>
      <w:r>
        <w:rPr>
          <w:rFonts w:hint="eastAsia" w:ascii="宋体" w:hAnsi="宋体" w:eastAsia="宋体" w:cs="宋体"/>
          <w:sz w:val="32"/>
          <w:szCs w:val="40"/>
          <w:lang w:val="en-US" w:eastAsia="zh-CN"/>
        </w:rPr>
        <w:t>项目</w:t>
      </w:r>
      <w:bookmarkStart w:id="0" w:name="_GoBack"/>
      <w:bookmarkEnd w:id="0"/>
      <w:r>
        <w:rPr>
          <w:rFonts w:hint="eastAsia" w:ascii="宋体" w:hAnsi="宋体" w:eastAsia="宋体" w:cs="宋体"/>
          <w:sz w:val="32"/>
          <w:szCs w:val="40"/>
          <w:lang w:val="en-US" w:eastAsia="zh-CN"/>
        </w:rPr>
        <w:t>3 二代高通量测序仪</w:t>
      </w:r>
    </w:p>
    <w:p w14:paraId="190F9800">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宋体" w:hAnsi="宋体" w:eastAsia="宋体" w:cs="宋体"/>
          <w:sz w:val="32"/>
          <w:szCs w:val="40"/>
          <w:lang w:val="en-US" w:eastAsia="zh-CN"/>
        </w:rPr>
      </w:pPr>
      <w:r>
        <w:rPr>
          <w:rFonts w:hint="eastAsia" w:ascii="宋体" w:hAnsi="宋体" w:eastAsia="宋体" w:cs="宋体"/>
          <w:sz w:val="32"/>
          <w:szCs w:val="40"/>
          <w:lang w:val="en-US" w:eastAsia="zh-CN"/>
        </w:rPr>
        <w:t>需新增设备</w:t>
      </w:r>
    </w:p>
    <w:p w14:paraId="73706F58">
      <w:pPr>
        <w:keepNext w:val="0"/>
        <w:keepLines w:val="0"/>
        <w:pageBreakBefore w:val="0"/>
        <w:widowControl w:val="0"/>
        <w:numPr>
          <w:ilvl w:val="0"/>
          <w:numId w:val="1"/>
        </w:numPr>
        <w:kinsoku/>
        <w:wordWrap/>
        <w:overflowPunct/>
        <w:topLinePunct w:val="0"/>
        <w:autoSpaceDE/>
        <w:autoSpaceDN/>
        <w:bidi w:val="0"/>
        <w:adjustRightInd/>
        <w:snapToGrid/>
        <w:spacing w:line="360" w:lineRule="auto"/>
        <w:jc w:val="both"/>
        <w:textAlignment w:val="auto"/>
        <w:rPr>
          <w:rFonts w:hint="eastAsia" w:ascii="宋体" w:hAnsi="宋体" w:eastAsia="宋体" w:cs="宋体"/>
          <w:sz w:val="32"/>
          <w:szCs w:val="40"/>
          <w:lang w:val="en-US" w:eastAsia="zh-CN"/>
        </w:rPr>
      </w:pPr>
      <w:r>
        <w:rPr>
          <w:rFonts w:hint="eastAsia" w:ascii="宋体" w:hAnsi="宋体" w:eastAsia="宋体" w:cs="宋体"/>
          <w:sz w:val="32"/>
          <w:szCs w:val="40"/>
          <w:lang w:val="en-US" w:eastAsia="zh-CN"/>
        </w:rPr>
        <w:t>设备参数</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4"/>
        <w:gridCol w:w="1335"/>
        <w:gridCol w:w="1408"/>
        <w:gridCol w:w="1134"/>
        <w:gridCol w:w="1276"/>
        <w:gridCol w:w="1559"/>
        <w:gridCol w:w="560"/>
        <w:gridCol w:w="5568"/>
      </w:tblGrid>
      <w:tr w14:paraId="1FEFA2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trPr>
        <w:tc>
          <w:tcPr>
            <w:tcW w:w="1334" w:type="dxa"/>
            <w:noWrap w:val="0"/>
            <w:vAlign w:val="center"/>
          </w:tcPr>
          <w:p w14:paraId="020A2375">
            <w:pPr>
              <w:spacing w:line="280" w:lineRule="exact"/>
              <w:jc w:val="center"/>
              <w:rPr>
                <w:rFonts w:ascii="宋体" w:hAnsi="宋体" w:cs="宋体"/>
                <w:b/>
                <w:bCs/>
                <w:szCs w:val="21"/>
              </w:rPr>
            </w:pPr>
          </w:p>
        </w:tc>
        <w:tc>
          <w:tcPr>
            <w:tcW w:w="1335" w:type="dxa"/>
            <w:noWrap w:val="0"/>
            <w:vAlign w:val="center"/>
          </w:tcPr>
          <w:p w14:paraId="32A12860">
            <w:pPr>
              <w:spacing w:line="280" w:lineRule="exact"/>
              <w:jc w:val="center"/>
              <w:rPr>
                <w:rFonts w:ascii="宋体" w:hAnsi="宋体" w:cs="宋体"/>
                <w:b/>
                <w:bCs/>
                <w:szCs w:val="21"/>
              </w:rPr>
            </w:pPr>
            <w:r>
              <w:rPr>
                <w:rFonts w:hint="eastAsia" w:ascii="宋体" w:hAnsi="宋体" w:cs="宋体"/>
                <w:b/>
                <w:bCs/>
                <w:szCs w:val="21"/>
              </w:rPr>
              <w:t>产品名称</w:t>
            </w:r>
          </w:p>
        </w:tc>
        <w:tc>
          <w:tcPr>
            <w:tcW w:w="1408" w:type="dxa"/>
            <w:noWrap w:val="0"/>
            <w:vAlign w:val="center"/>
          </w:tcPr>
          <w:p w14:paraId="37B5D5F7">
            <w:pPr>
              <w:spacing w:line="400" w:lineRule="exact"/>
              <w:jc w:val="center"/>
              <w:rPr>
                <w:rFonts w:ascii="宋体" w:hAnsi="宋体" w:cs="宋体"/>
                <w:b/>
                <w:bCs/>
                <w:szCs w:val="21"/>
              </w:rPr>
            </w:pPr>
            <w:r>
              <w:rPr>
                <w:rFonts w:hint="eastAsia" w:ascii="宋体" w:hAnsi="宋体" w:cs="宋体"/>
                <w:b/>
                <w:bCs/>
                <w:szCs w:val="21"/>
              </w:rPr>
              <w:t>产品单价</w:t>
            </w:r>
          </w:p>
        </w:tc>
        <w:tc>
          <w:tcPr>
            <w:tcW w:w="1134" w:type="dxa"/>
            <w:noWrap w:val="0"/>
            <w:vAlign w:val="center"/>
          </w:tcPr>
          <w:p w14:paraId="65F609AC">
            <w:pPr>
              <w:spacing w:line="400" w:lineRule="exact"/>
              <w:jc w:val="center"/>
              <w:rPr>
                <w:rFonts w:ascii="宋体" w:hAnsi="宋体" w:cs="宋体"/>
                <w:b/>
                <w:bCs/>
                <w:szCs w:val="21"/>
              </w:rPr>
            </w:pPr>
            <w:r>
              <w:rPr>
                <w:rFonts w:hint="eastAsia" w:ascii="宋体" w:hAnsi="宋体" w:cs="宋体"/>
                <w:b/>
                <w:bCs/>
                <w:szCs w:val="21"/>
              </w:rPr>
              <w:t>租赁数量</w:t>
            </w:r>
          </w:p>
        </w:tc>
        <w:tc>
          <w:tcPr>
            <w:tcW w:w="1276" w:type="dxa"/>
            <w:noWrap w:val="0"/>
            <w:vAlign w:val="center"/>
          </w:tcPr>
          <w:p w14:paraId="1DA27919">
            <w:pPr>
              <w:spacing w:line="400" w:lineRule="exact"/>
              <w:jc w:val="center"/>
              <w:rPr>
                <w:rFonts w:ascii="宋体" w:hAnsi="宋体" w:cs="宋体"/>
                <w:b/>
                <w:bCs/>
                <w:szCs w:val="21"/>
              </w:rPr>
            </w:pPr>
            <w:r>
              <w:rPr>
                <w:rFonts w:hint="eastAsia" w:ascii="宋体" w:hAnsi="宋体" w:cs="宋体"/>
                <w:b/>
                <w:bCs/>
                <w:szCs w:val="21"/>
              </w:rPr>
              <w:t>租赁期限</w:t>
            </w:r>
          </w:p>
        </w:tc>
        <w:tc>
          <w:tcPr>
            <w:tcW w:w="1559" w:type="dxa"/>
            <w:noWrap w:val="0"/>
            <w:vAlign w:val="center"/>
          </w:tcPr>
          <w:p w14:paraId="4D58048D">
            <w:pPr>
              <w:spacing w:line="400" w:lineRule="exact"/>
              <w:jc w:val="center"/>
              <w:rPr>
                <w:rFonts w:ascii="宋体" w:hAnsi="宋体" w:cs="宋体"/>
                <w:b/>
                <w:bCs/>
                <w:szCs w:val="21"/>
              </w:rPr>
            </w:pPr>
            <w:r>
              <w:rPr>
                <w:rFonts w:hint="eastAsia" w:ascii="宋体" w:hAnsi="宋体" w:cs="宋体"/>
                <w:b/>
                <w:bCs/>
                <w:szCs w:val="21"/>
              </w:rPr>
              <w:t>项目总预算</w:t>
            </w:r>
          </w:p>
        </w:tc>
        <w:tc>
          <w:tcPr>
            <w:tcW w:w="6128" w:type="dxa"/>
            <w:gridSpan w:val="2"/>
            <w:noWrap w:val="0"/>
            <w:vAlign w:val="center"/>
          </w:tcPr>
          <w:p w14:paraId="53D226F3">
            <w:pPr>
              <w:spacing w:line="400" w:lineRule="exact"/>
              <w:jc w:val="center"/>
              <w:rPr>
                <w:rFonts w:ascii="宋体" w:hAnsi="宋体" w:cs="宋体"/>
                <w:b/>
                <w:bCs/>
                <w:szCs w:val="21"/>
              </w:rPr>
            </w:pPr>
            <w:r>
              <w:rPr>
                <w:rFonts w:hint="eastAsia" w:ascii="宋体" w:hAnsi="宋体" w:cs="宋体"/>
                <w:b/>
                <w:bCs/>
                <w:szCs w:val="21"/>
              </w:rPr>
              <w:t>付款方式</w:t>
            </w:r>
          </w:p>
        </w:tc>
      </w:tr>
      <w:tr w14:paraId="529759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trPr>
        <w:tc>
          <w:tcPr>
            <w:tcW w:w="1334" w:type="dxa"/>
            <w:noWrap w:val="0"/>
            <w:vAlign w:val="center"/>
          </w:tcPr>
          <w:p w14:paraId="6D34BB53">
            <w:pPr>
              <w:spacing w:line="280" w:lineRule="exact"/>
              <w:jc w:val="center"/>
              <w:rPr>
                <w:rFonts w:ascii="宋体" w:hAnsi="宋体" w:cs="宋体"/>
                <w:b/>
                <w:bCs/>
                <w:szCs w:val="21"/>
              </w:rPr>
            </w:pPr>
            <w:r>
              <w:rPr>
                <w:rFonts w:hint="eastAsia" w:ascii="宋体" w:hAnsi="宋体" w:cs="宋体"/>
                <w:b/>
                <w:bCs/>
                <w:szCs w:val="21"/>
              </w:rPr>
              <w:t>设备</w:t>
            </w:r>
          </w:p>
        </w:tc>
        <w:tc>
          <w:tcPr>
            <w:tcW w:w="1335" w:type="dxa"/>
            <w:noWrap w:val="0"/>
            <w:vAlign w:val="center"/>
          </w:tcPr>
          <w:p w14:paraId="170DA21A">
            <w:pPr>
              <w:spacing w:line="280" w:lineRule="exact"/>
              <w:jc w:val="center"/>
              <w:rPr>
                <w:rFonts w:ascii="宋体" w:hAnsi="宋体" w:cs="宋体"/>
                <w:b/>
                <w:bCs/>
                <w:szCs w:val="21"/>
              </w:rPr>
            </w:pPr>
            <w:r>
              <w:rPr>
                <w:rFonts w:hint="eastAsia" w:ascii="宋体" w:hAnsi="宋体" w:cs="宋体"/>
                <w:bCs/>
                <w:szCs w:val="21"/>
              </w:rPr>
              <w:t>二代高通量测序仪</w:t>
            </w:r>
          </w:p>
        </w:tc>
        <w:tc>
          <w:tcPr>
            <w:tcW w:w="1408" w:type="dxa"/>
            <w:noWrap w:val="0"/>
            <w:vAlign w:val="center"/>
          </w:tcPr>
          <w:p w14:paraId="06641EF8">
            <w:pPr>
              <w:spacing w:line="400" w:lineRule="exact"/>
              <w:jc w:val="center"/>
              <w:rPr>
                <w:rFonts w:hint="eastAsia" w:ascii="宋体" w:hAnsi="宋体" w:cs="宋体"/>
                <w:bCs/>
                <w:szCs w:val="21"/>
              </w:rPr>
            </w:pPr>
            <w:r>
              <w:rPr>
                <w:rFonts w:hint="eastAsia" w:ascii="宋体" w:hAnsi="宋体" w:cs="宋体"/>
                <w:bCs/>
                <w:szCs w:val="21"/>
              </w:rPr>
              <w:t>3000元</w:t>
            </w:r>
          </w:p>
        </w:tc>
        <w:tc>
          <w:tcPr>
            <w:tcW w:w="1134" w:type="dxa"/>
            <w:noWrap w:val="0"/>
            <w:vAlign w:val="center"/>
          </w:tcPr>
          <w:p w14:paraId="21625FC7">
            <w:pPr>
              <w:spacing w:line="400" w:lineRule="exact"/>
              <w:jc w:val="center"/>
              <w:rPr>
                <w:rFonts w:hint="eastAsia" w:ascii="宋体" w:hAnsi="宋体" w:cs="宋体"/>
                <w:bCs/>
                <w:szCs w:val="21"/>
              </w:rPr>
            </w:pPr>
            <w:r>
              <w:rPr>
                <w:rFonts w:hint="eastAsia" w:ascii="宋体" w:hAnsi="宋体" w:cs="宋体"/>
                <w:bCs/>
                <w:szCs w:val="21"/>
              </w:rPr>
              <w:t>1</w:t>
            </w:r>
          </w:p>
        </w:tc>
        <w:tc>
          <w:tcPr>
            <w:tcW w:w="1276" w:type="dxa"/>
            <w:noWrap w:val="0"/>
            <w:vAlign w:val="center"/>
          </w:tcPr>
          <w:p w14:paraId="28D27C5C">
            <w:pPr>
              <w:spacing w:line="400" w:lineRule="exact"/>
              <w:jc w:val="center"/>
              <w:rPr>
                <w:rFonts w:hint="eastAsia" w:ascii="宋体" w:hAnsi="宋体" w:cs="宋体"/>
                <w:bCs/>
                <w:szCs w:val="21"/>
              </w:rPr>
            </w:pPr>
            <w:r>
              <w:rPr>
                <w:rFonts w:hint="eastAsia" w:ascii="宋体" w:hAnsi="宋体" w:cs="宋体"/>
                <w:bCs/>
                <w:szCs w:val="21"/>
              </w:rPr>
              <w:t>3年</w:t>
            </w:r>
          </w:p>
        </w:tc>
        <w:tc>
          <w:tcPr>
            <w:tcW w:w="1559" w:type="dxa"/>
            <w:noWrap w:val="0"/>
            <w:vAlign w:val="center"/>
          </w:tcPr>
          <w:p w14:paraId="6E8C701E">
            <w:pPr>
              <w:spacing w:line="400" w:lineRule="exact"/>
              <w:jc w:val="center"/>
              <w:rPr>
                <w:rFonts w:hint="eastAsia" w:ascii="宋体" w:hAnsi="宋体" w:cs="宋体"/>
                <w:bCs/>
                <w:szCs w:val="21"/>
              </w:rPr>
            </w:pPr>
            <w:r>
              <w:rPr>
                <w:rFonts w:hint="eastAsia" w:ascii="宋体" w:hAnsi="宋体" w:cs="宋体"/>
                <w:bCs/>
                <w:szCs w:val="21"/>
              </w:rPr>
              <w:t>9000元</w:t>
            </w:r>
          </w:p>
        </w:tc>
        <w:tc>
          <w:tcPr>
            <w:tcW w:w="6128" w:type="dxa"/>
            <w:gridSpan w:val="2"/>
            <w:noWrap w:val="0"/>
            <w:vAlign w:val="center"/>
          </w:tcPr>
          <w:p w14:paraId="335F389B">
            <w:pPr>
              <w:tabs>
                <w:tab w:val="left" w:pos="360"/>
              </w:tabs>
              <w:rPr>
                <w:rFonts w:hint="eastAsia" w:ascii="宋体" w:hAnsi="宋体" w:cs="宋体"/>
                <w:bCs/>
                <w:szCs w:val="21"/>
              </w:rPr>
            </w:pPr>
            <w:r>
              <w:rPr>
                <w:rFonts w:hint="eastAsia" w:ascii="宋体" w:hAnsi="宋体" w:cs="宋体"/>
                <w:bCs/>
                <w:szCs w:val="21"/>
              </w:rPr>
              <w:t>分期付款：按照签订合同后按六次付款，设备安装验收后支付</w:t>
            </w:r>
            <w:r>
              <w:rPr>
                <w:rFonts w:ascii="宋体" w:hAnsi="宋体" w:cs="宋体"/>
                <w:bCs/>
                <w:szCs w:val="21"/>
              </w:rPr>
              <w:t>合同价款</w:t>
            </w:r>
            <w:r>
              <w:rPr>
                <w:rFonts w:hint="eastAsia" w:ascii="宋体" w:hAnsi="宋体" w:cs="宋体"/>
                <w:bCs/>
                <w:szCs w:val="21"/>
              </w:rPr>
              <w:t>的</w:t>
            </w:r>
            <w:r>
              <w:rPr>
                <w:rFonts w:ascii="宋体" w:hAnsi="宋体" w:cs="宋体"/>
                <w:bCs/>
                <w:szCs w:val="21"/>
              </w:rPr>
              <w:t>16.66%</w:t>
            </w:r>
            <w:r>
              <w:rPr>
                <w:rFonts w:hint="eastAsia" w:ascii="宋体" w:hAnsi="宋体" w:cs="宋体"/>
                <w:bCs/>
                <w:szCs w:val="21"/>
              </w:rPr>
              <w:t>;</w:t>
            </w:r>
            <w:r>
              <w:rPr>
                <w:rFonts w:ascii="宋体" w:hAnsi="宋体" w:cs="宋体"/>
                <w:bCs/>
                <w:szCs w:val="21"/>
              </w:rPr>
              <w:t>服务满6个月后，支付合同价款的16.66%</w:t>
            </w:r>
            <w:r>
              <w:rPr>
                <w:rFonts w:hint="eastAsia" w:ascii="宋体" w:hAnsi="宋体" w:cs="宋体"/>
                <w:bCs/>
                <w:szCs w:val="21"/>
              </w:rPr>
              <w:t>;</w:t>
            </w:r>
            <w:r>
              <w:rPr>
                <w:rFonts w:ascii="宋体" w:hAnsi="宋体" w:cs="宋体"/>
                <w:bCs/>
                <w:szCs w:val="21"/>
              </w:rPr>
              <w:t>服务满</w:t>
            </w:r>
            <w:r>
              <w:rPr>
                <w:rFonts w:hint="eastAsia" w:ascii="宋体" w:hAnsi="宋体" w:cs="宋体"/>
                <w:bCs/>
                <w:szCs w:val="21"/>
              </w:rPr>
              <w:t>12</w:t>
            </w:r>
            <w:r>
              <w:rPr>
                <w:rFonts w:ascii="宋体" w:hAnsi="宋体" w:cs="宋体"/>
                <w:bCs/>
                <w:szCs w:val="21"/>
              </w:rPr>
              <w:t>个月后，支付合同价款的16.66%</w:t>
            </w:r>
            <w:r>
              <w:rPr>
                <w:rFonts w:hint="eastAsia" w:ascii="宋体" w:hAnsi="宋体" w:cs="宋体"/>
                <w:bCs/>
                <w:szCs w:val="21"/>
              </w:rPr>
              <w:t>;</w:t>
            </w:r>
            <w:r>
              <w:rPr>
                <w:rFonts w:ascii="宋体" w:hAnsi="宋体" w:cs="宋体"/>
                <w:bCs/>
                <w:szCs w:val="21"/>
              </w:rPr>
              <w:t>服务满</w:t>
            </w:r>
            <w:r>
              <w:rPr>
                <w:rFonts w:hint="eastAsia" w:ascii="宋体" w:hAnsi="宋体" w:cs="宋体"/>
                <w:bCs/>
                <w:szCs w:val="21"/>
              </w:rPr>
              <w:t>18</w:t>
            </w:r>
            <w:r>
              <w:rPr>
                <w:rFonts w:ascii="宋体" w:hAnsi="宋体" w:cs="宋体"/>
                <w:bCs/>
                <w:szCs w:val="21"/>
              </w:rPr>
              <w:t>个月后，支付合同价款的16.66%</w:t>
            </w:r>
            <w:r>
              <w:rPr>
                <w:rFonts w:hint="eastAsia" w:ascii="宋体" w:hAnsi="宋体" w:cs="宋体"/>
                <w:bCs/>
                <w:szCs w:val="21"/>
              </w:rPr>
              <w:t>;</w:t>
            </w:r>
            <w:r>
              <w:rPr>
                <w:rFonts w:ascii="宋体" w:hAnsi="宋体" w:cs="宋体"/>
                <w:bCs/>
                <w:szCs w:val="21"/>
              </w:rPr>
              <w:t>服务满</w:t>
            </w:r>
            <w:r>
              <w:rPr>
                <w:rFonts w:hint="eastAsia" w:ascii="宋体" w:hAnsi="宋体" w:cs="宋体"/>
                <w:bCs/>
                <w:szCs w:val="21"/>
              </w:rPr>
              <w:t>24</w:t>
            </w:r>
            <w:r>
              <w:rPr>
                <w:rFonts w:ascii="宋体" w:hAnsi="宋体" w:cs="宋体"/>
                <w:bCs/>
                <w:szCs w:val="21"/>
              </w:rPr>
              <w:t>个月后，支付合同价款的16.66%</w:t>
            </w:r>
            <w:r>
              <w:rPr>
                <w:rFonts w:hint="eastAsia" w:ascii="宋体" w:hAnsi="宋体" w:cs="宋体"/>
                <w:bCs/>
                <w:szCs w:val="21"/>
              </w:rPr>
              <w:t>;</w:t>
            </w:r>
            <w:r>
              <w:rPr>
                <w:rFonts w:ascii="宋体" w:hAnsi="宋体" w:cs="宋体"/>
                <w:bCs/>
                <w:szCs w:val="21"/>
              </w:rPr>
              <w:t>服务满</w:t>
            </w:r>
            <w:r>
              <w:rPr>
                <w:rFonts w:hint="eastAsia" w:ascii="宋体" w:hAnsi="宋体" w:cs="宋体"/>
                <w:bCs/>
                <w:szCs w:val="21"/>
              </w:rPr>
              <w:t>30</w:t>
            </w:r>
            <w:r>
              <w:rPr>
                <w:rFonts w:ascii="宋体" w:hAnsi="宋体" w:cs="宋体"/>
                <w:bCs/>
                <w:szCs w:val="21"/>
              </w:rPr>
              <w:t>个月后，支付合同价款的16.</w:t>
            </w:r>
            <w:r>
              <w:rPr>
                <w:rFonts w:hint="eastAsia" w:ascii="宋体" w:hAnsi="宋体" w:cs="宋体"/>
                <w:bCs/>
                <w:szCs w:val="21"/>
              </w:rPr>
              <w:t>7</w:t>
            </w:r>
            <w:r>
              <w:rPr>
                <w:rFonts w:ascii="宋体" w:hAnsi="宋体" w:cs="宋体"/>
                <w:bCs/>
                <w:szCs w:val="21"/>
              </w:rPr>
              <w:t>%。</w:t>
            </w:r>
          </w:p>
        </w:tc>
      </w:tr>
      <w:tr w14:paraId="3D7EF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trPr>
        <w:tc>
          <w:tcPr>
            <w:tcW w:w="1334" w:type="dxa"/>
            <w:noWrap w:val="0"/>
            <w:vAlign w:val="center"/>
          </w:tcPr>
          <w:p w14:paraId="2F6CD6EB">
            <w:pPr>
              <w:spacing w:line="280" w:lineRule="exact"/>
              <w:jc w:val="center"/>
              <w:rPr>
                <w:rFonts w:ascii="宋体" w:hAnsi="宋体" w:cs="宋体"/>
                <w:b/>
                <w:bCs/>
                <w:szCs w:val="21"/>
              </w:rPr>
            </w:pPr>
            <w:r>
              <w:rPr>
                <w:rFonts w:hint="eastAsia" w:ascii="宋体" w:hAnsi="宋体" w:cs="宋体"/>
                <w:b/>
                <w:bCs/>
                <w:szCs w:val="21"/>
              </w:rPr>
              <w:t>耗材</w:t>
            </w:r>
          </w:p>
        </w:tc>
        <w:tc>
          <w:tcPr>
            <w:tcW w:w="2743" w:type="dxa"/>
            <w:gridSpan w:val="2"/>
            <w:noWrap w:val="0"/>
            <w:vAlign w:val="center"/>
          </w:tcPr>
          <w:p w14:paraId="5F7C3F47">
            <w:pPr>
              <w:spacing w:line="400" w:lineRule="exact"/>
              <w:jc w:val="center"/>
              <w:rPr>
                <w:rFonts w:hint="eastAsia" w:ascii="宋体" w:hAnsi="宋体" w:cs="宋体"/>
                <w:bCs/>
                <w:szCs w:val="21"/>
              </w:rPr>
            </w:pPr>
            <w:r>
              <w:rPr>
                <w:rFonts w:hint="eastAsia" w:ascii="宋体" w:hAnsi="宋体" w:cs="宋体"/>
                <w:bCs/>
                <w:szCs w:val="21"/>
              </w:rPr>
              <w:t>以耗材现场</w:t>
            </w:r>
            <w:r>
              <w:rPr>
                <w:rFonts w:hint="eastAsia" w:ascii="宋体" w:hAnsi="宋体" w:cs="宋体"/>
                <w:bCs/>
                <w:szCs w:val="21"/>
                <w:lang w:val="en-US" w:eastAsia="zh-CN"/>
              </w:rPr>
              <w:t>议价</w:t>
            </w:r>
            <w:r>
              <w:rPr>
                <w:rFonts w:hint="eastAsia" w:ascii="宋体" w:hAnsi="宋体" w:cs="宋体"/>
                <w:bCs/>
                <w:szCs w:val="21"/>
              </w:rPr>
              <w:t>为准</w:t>
            </w:r>
          </w:p>
        </w:tc>
        <w:tc>
          <w:tcPr>
            <w:tcW w:w="10097" w:type="dxa"/>
            <w:gridSpan w:val="5"/>
            <w:noWrap w:val="0"/>
            <w:vAlign w:val="center"/>
          </w:tcPr>
          <w:p w14:paraId="222CAF1F">
            <w:pPr>
              <w:tabs>
                <w:tab w:val="left" w:pos="360"/>
              </w:tabs>
              <w:rPr>
                <w:rFonts w:hint="eastAsia" w:ascii="宋体" w:hAnsi="宋体" w:cs="宋体"/>
                <w:bCs/>
                <w:szCs w:val="21"/>
              </w:rPr>
            </w:pPr>
            <w:r>
              <w:rPr>
                <w:rFonts w:hint="eastAsia" w:ascii="宋体" w:hAnsi="宋体" w:cs="宋体"/>
                <w:bCs/>
                <w:szCs w:val="21"/>
              </w:rPr>
              <w:t>按医院耗材管理方式结算。</w:t>
            </w:r>
          </w:p>
        </w:tc>
      </w:tr>
      <w:tr w14:paraId="15C0C0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trPr>
        <w:tc>
          <w:tcPr>
            <w:tcW w:w="4077" w:type="dxa"/>
            <w:gridSpan w:val="3"/>
            <w:noWrap w:val="0"/>
            <w:vAlign w:val="center"/>
          </w:tcPr>
          <w:p w14:paraId="7A52A2E4">
            <w:pPr>
              <w:spacing w:line="280" w:lineRule="exact"/>
              <w:jc w:val="center"/>
              <w:rPr>
                <w:rFonts w:ascii="宋体" w:hAnsi="宋体" w:cs="宋体"/>
                <w:b/>
                <w:bCs/>
                <w:szCs w:val="21"/>
              </w:rPr>
            </w:pPr>
            <w:r>
              <w:rPr>
                <w:rFonts w:hint="eastAsia" w:ascii="宋体" w:hAnsi="宋体" w:cs="宋体"/>
                <w:b/>
                <w:bCs/>
                <w:szCs w:val="21"/>
              </w:rPr>
              <w:t>租赁方式</w:t>
            </w:r>
          </w:p>
        </w:tc>
        <w:tc>
          <w:tcPr>
            <w:tcW w:w="10097" w:type="dxa"/>
            <w:gridSpan w:val="5"/>
            <w:noWrap w:val="0"/>
            <w:vAlign w:val="center"/>
          </w:tcPr>
          <w:p w14:paraId="74997B3A">
            <w:pPr>
              <w:tabs>
                <w:tab w:val="left" w:pos="360"/>
              </w:tabs>
              <w:rPr>
                <w:rFonts w:hint="eastAsia" w:ascii="宋体" w:hAnsi="宋体" w:cs="宋体"/>
                <w:bCs/>
                <w:sz w:val="18"/>
                <w:szCs w:val="18"/>
              </w:rPr>
            </w:pPr>
            <w:r>
              <w:rPr>
                <w:rFonts w:hint="eastAsia" w:ascii="宋体" w:hAnsi="宋体" w:cs="宋体"/>
                <w:bCs/>
                <w:sz w:val="18"/>
                <w:szCs w:val="18"/>
              </w:rPr>
              <w:t>□经营性租赁。经营性租赁期间内，设备的所有权归属于租赁公司，设备在租赁期结束后可归还出租方、续租或者做设备物权转移。</w:t>
            </w:r>
          </w:p>
          <w:p w14:paraId="03C335F6">
            <w:pPr>
              <w:pStyle w:val="2"/>
              <w:rPr>
                <w:rFonts w:hint="eastAsia" w:ascii="宋体" w:hAnsi="宋体" w:cs="宋体"/>
                <w:b w:val="0"/>
                <w:caps w:val="0"/>
                <w:sz w:val="18"/>
                <w:szCs w:val="18"/>
              </w:rPr>
            </w:pPr>
            <w:r>
              <w:rPr>
                <w:rFonts w:hint="eastAsia" w:ascii="宋体" w:hAnsi="宋体" w:cs="宋体"/>
                <w:b w:val="0"/>
                <w:caps w:val="0"/>
                <w:sz w:val="18"/>
                <w:szCs w:val="18"/>
              </w:rPr>
              <w:t>□金融性租赁。指实质上转移了与资产所有权有关的全部风险和报酬的租赁，租赁期满后我院通常有优先购买权，类似分期付款购置设备。</w:t>
            </w:r>
          </w:p>
          <w:p w14:paraId="70225F4D">
            <w:pPr>
              <w:rPr>
                <w:rFonts w:hint="eastAsia"/>
              </w:rPr>
            </w:pPr>
            <w:r>
              <w:rPr>
                <w:rFonts w:hint="eastAsia" w:ascii="宋体" w:hAnsi="宋体" w:cs="宋体"/>
                <w:bCs/>
                <w:sz w:val="18"/>
                <w:szCs w:val="18"/>
              </w:rPr>
              <w:sym w:font="Wingdings 2" w:char="F052"/>
            </w:r>
            <w:r>
              <w:rPr>
                <w:rFonts w:hint="eastAsia" w:ascii="宋体" w:hAnsi="宋体" w:cs="宋体"/>
                <w:bCs/>
                <w:sz w:val="18"/>
                <w:szCs w:val="18"/>
              </w:rPr>
              <w:t>专机专耗类:针对部分与特定耗材配套使用的设备，专机专耗类设备测算采购预算为设备加耗材总体预算，并在价格评分中充分体现设备全生命周期成本。在符合租赁成本显著低于采购成本的其他情形中，租赁成本必须为设备租赁期全生命周期成本显著低于采购成本或者以目前在用设备使用成本估算的该类型设备全生命周期使用成本。</w:t>
            </w:r>
          </w:p>
        </w:tc>
      </w:tr>
      <w:tr w14:paraId="777298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7" w:hRule="atLeast"/>
        </w:trPr>
        <w:tc>
          <w:tcPr>
            <w:tcW w:w="2669" w:type="dxa"/>
            <w:gridSpan w:val="2"/>
            <w:noWrap w:val="0"/>
            <w:vAlign w:val="center"/>
          </w:tcPr>
          <w:p w14:paraId="729EAB47">
            <w:pPr>
              <w:spacing w:line="240" w:lineRule="exact"/>
              <w:jc w:val="center"/>
              <w:rPr>
                <w:rFonts w:ascii="宋体" w:hAnsi="宋体" w:cs="宋体"/>
                <w:b/>
                <w:bCs/>
                <w:szCs w:val="21"/>
              </w:rPr>
            </w:pPr>
            <w:r>
              <w:rPr>
                <w:rFonts w:hint="eastAsia" w:ascii="宋体" w:hAnsi="宋体" w:cs="宋体"/>
                <w:b/>
                <w:bCs/>
                <w:szCs w:val="21"/>
              </w:rPr>
              <w:t>技术参数及配件配置要求</w:t>
            </w:r>
          </w:p>
        </w:tc>
        <w:tc>
          <w:tcPr>
            <w:tcW w:w="11505" w:type="dxa"/>
            <w:gridSpan w:val="6"/>
            <w:noWrap w:val="0"/>
            <w:vAlign w:val="center"/>
          </w:tcPr>
          <w:p w14:paraId="49B8C462">
            <w:pPr>
              <w:pStyle w:val="2"/>
              <w:spacing w:line="400" w:lineRule="exact"/>
              <w:ind w:left="630" w:hanging="630" w:hangingChars="300"/>
              <w:jc w:val="center"/>
              <w:rPr>
                <w:rFonts w:ascii="宋体" w:hAnsi="宋体" w:cs="宋体"/>
                <w:b w:val="0"/>
                <w:bCs w:val="0"/>
                <w:sz w:val="21"/>
                <w:szCs w:val="21"/>
              </w:rPr>
            </w:pPr>
            <w:r>
              <w:rPr>
                <w:rFonts w:hint="eastAsia" w:ascii="宋体" w:hAnsi="宋体" w:cs="宋体"/>
                <w:b w:val="0"/>
                <w:bCs w:val="0"/>
                <w:sz w:val="21"/>
                <w:szCs w:val="21"/>
              </w:rPr>
              <w:t>必备参数用“★”标注（即不得偏离的参数），重要参数用“▲”标注（即影响但可偏离的条款）</w:t>
            </w:r>
          </w:p>
          <w:p w14:paraId="7ABAFEAA">
            <w:pPr>
              <w:spacing w:line="360" w:lineRule="auto"/>
              <w:jc w:val="left"/>
              <w:rPr>
                <w:rFonts w:hint="eastAsia" w:ascii="宋体" w:hAnsi="宋体"/>
              </w:rPr>
            </w:pPr>
            <w:r>
              <w:rPr>
                <w:rFonts w:hint="eastAsia" w:ascii="宋体" w:hAnsi="宋体"/>
              </w:rPr>
              <w:t>▲1、测序原理：包含但不限于探针锚定聚合技术、纳米孔电信号识别实现精准测序和可逆末端终止测序法。优先基于测序芯片表面扩增荧光测序技术，通过激光激发、相机扫描成像对碱基的光学信号进行识别，采用可逆末端终止测序法，实现边合成边测序反应（SBS）。</w:t>
            </w:r>
          </w:p>
          <w:p w14:paraId="29C3AA95">
            <w:pPr>
              <w:spacing w:line="360" w:lineRule="auto"/>
              <w:jc w:val="left"/>
              <w:rPr>
                <w:rFonts w:hint="eastAsia" w:ascii="宋体" w:hAnsi="宋体"/>
              </w:rPr>
            </w:pPr>
            <w:r>
              <w:rPr>
                <w:rFonts w:hint="eastAsia" w:ascii="宋体" w:hAnsi="宋体"/>
              </w:rPr>
              <w:t xml:space="preserve">  2、模板扩增：测序的模板扩增过程为自动化，且在测序仪上完成，不配置额外的设备。</w:t>
            </w:r>
          </w:p>
          <w:p w14:paraId="6D3FEDB1">
            <w:pPr>
              <w:spacing w:line="360" w:lineRule="auto"/>
              <w:jc w:val="left"/>
              <w:rPr>
                <w:rFonts w:hint="eastAsia" w:ascii="宋体" w:hAnsi="宋体"/>
              </w:rPr>
            </w:pPr>
            <w:r>
              <w:rPr>
                <w:rFonts w:hint="eastAsia" w:ascii="宋体" w:hAnsi="宋体"/>
              </w:rPr>
              <w:t>▲3、测序芯片流道：单张芯片支持≥4个独立流道（lane）。</w:t>
            </w:r>
          </w:p>
          <w:p w14:paraId="11B312B7">
            <w:pPr>
              <w:spacing w:line="360" w:lineRule="auto"/>
              <w:jc w:val="left"/>
              <w:rPr>
                <w:rFonts w:hint="eastAsia" w:ascii="宋体" w:hAnsi="宋体"/>
              </w:rPr>
            </w:pPr>
            <w:r>
              <w:rPr>
                <w:rFonts w:hint="eastAsia" w:ascii="宋体" w:hAnsi="宋体"/>
              </w:rPr>
              <w:t>4、读长模式：支持单端（SE）和双端（PE）测序，可包含SE50，SE75，SE100，SE150，PE75，PE150，SE400，PE300等读长选项。</w:t>
            </w:r>
          </w:p>
          <w:p w14:paraId="02AE58A5">
            <w:pPr>
              <w:spacing w:line="360" w:lineRule="auto"/>
              <w:jc w:val="left"/>
              <w:rPr>
                <w:rFonts w:hint="eastAsia" w:ascii="宋体" w:hAnsi="宋体"/>
              </w:rPr>
            </w:pPr>
            <w:r>
              <w:rPr>
                <w:rFonts w:hint="eastAsia" w:ascii="宋体" w:hAnsi="宋体"/>
              </w:rPr>
              <w:t>5、自动化功能：测序完成后自动清洗，减少人工干预。</w:t>
            </w:r>
          </w:p>
          <w:p w14:paraId="30DAA789">
            <w:pPr>
              <w:spacing w:line="360" w:lineRule="auto"/>
              <w:jc w:val="left"/>
              <w:rPr>
                <w:rFonts w:hint="eastAsia" w:ascii="宋体" w:hAnsi="宋体"/>
              </w:rPr>
            </w:pPr>
            <w:r>
              <w:rPr>
                <w:rFonts w:hint="eastAsia" w:ascii="宋体" w:hAnsi="宋体"/>
              </w:rPr>
              <w:t>6、耗材管理：支持RFID（无线射频识别）技术，自动追踪耗材信息，无需扫码枪。</w:t>
            </w:r>
          </w:p>
          <w:p w14:paraId="566071F3">
            <w:pPr>
              <w:spacing w:line="360" w:lineRule="auto"/>
              <w:jc w:val="left"/>
              <w:rPr>
                <w:rFonts w:hint="eastAsia" w:ascii="宋体" w:hAnsi="宋体"/>
              </w:rPr>
            </w:pPr>
            <w:r>
              <w:rPr>
                <w:rFonts w:hint="eastAsia" w:ascii="宋体" w:hAnsi="宋体"/>
              </w:rPr>
              <w:t>▲7、测序芯片采用出厂预封装设计，即开即用，不需要手工进行组装和另外的机械压合封装固定。</w:t>
            </w:r>
          </w:p>
          <w:p w14:paraId="1373A6B6">
            <w:pPr>
              <w:spacing w:line="360" w:lineRule="auto"/>
              <w:jc w:val="left"/>
              <w:rPr>
                <w:rFonts w:hint="eastAsia" w:ascii="宋体" w:hAnsi="宋体"/>
              </w:rPr>
            </w:pPr>
            <w:r>
              <w:rPr>
                <w:rFonts w:hint="eastAsia" w:ascii="宋体" w:hAnsi="宋体"/>
              </w:rPr>
              <w:t>▲8、扩增测序一体化设计，测序文库变性后可直接上机，测序模板扩增过程可在测序芯片流动槽内通过芯片表面扩增方式自动化在线完成，整个文库克隆扩增和测序过程只需操作同一台仪器设备，无需配置额外的设备和额外的手工操作，有效降低操作复杂性，减少实验误差，降低交叉污染。</w:t>
            </w:r>
          </w:p>
          <w:p w14:paraId="749386AC">
            <w:pPr>
              <w:spacing w:line="360" w:lineRule="auto"/>
              <w:jc w:val="left"/>
              <w:rPr>
                <w:rFonts w:hint="eastAsia" w:ascii="宋体" w:hAnsi="宋体"/>
              </w:rPr>
            </w:pPr>
            <w:r>
              <w:rPr>
                <w:rFonts w:hint="eastAsia" w:ascii="宋体" w:hAnsi="宋体"/>
              </w:rPr>
              <w:t>9、光学系统：采用≥4色荧光系统，成像分辨率≤1um（提供技术白皮书或彩页或技术说明书）。</w:t>
            </w:r>
          </w:p>
          <w:p w14:paraId="43E586CB">
            <w:pPr>
              <w:spacing w:line="360" w:lineRule="auto"/>
              <w:jc w:val="left"/>
              <w:rPr>
                <w:rFonts w:hint="eastAsia" w:ascii="宋体" w:hAnsi="宋体"/>
              </w:rPr>
            </w:pPr>
            <w:r>
              <w:rPr>
                <w:rFonts w:hint="eastAsia" w:ascii="宋体" w:hAnsi="宋体"/>
              </w:rPr>
              <w:t>10、测序生化反应采用恒温化学技术（提供测序化学反应中每个步骤的截图证明）。</w:t>
            </w:r>
          </w:p>
          <w:p w14:paraId="15812E9A">
            <w:pPr>
              <w:spacing w:line="360" w:lineRule="auto"/>
              <w:jc w:val="left"/>
              <w:rPr>
                <w:rFonts w:hint="eastAsia" w:ascii="宋体" w:hAnsi="宋体"/>
              </w:rPr>
            </w:pPr>
            <w:r>
              <w:rPr>
                <w:rFonts w:hint="eastAsia" w:ascii="宋体" w:hAnsi="宋体"/>
              </w:rPr>
              <w:t>★11、为保证检测时效性，设备测序速度在SE50模式下，不超过240分钟，可以快速鉴定病原物种；在PE150模式下，不超过780分钟，针对未知病原微生物，快速获取全基因组信息，做好疫情快速响应和防控。(需提供产品彩页和官网截图证明材料)</w:t>
            </w:r>
          </w:p>
          <w:p w14:paraId="65A7F189">
            <w:pPr>
              <w:spacing w:line="360" w:lineRule="auto"/>
              <w:jc w:val="left"/>
              <w:rPr>
                <w:rFonts w:hint="eastAsia" w:ascii="宋体" w:hAnsi="宋体"/>
              </w:rPr>
            </w:pPr>
            <w:r>
              <w:rPr>
                <w:rFonts w:hint="eastAsia" w:ascii="宋体" w:hAnsi="宋体"/>
              </w:rPr>
              <w:t>▲12、支持≥2种芯片规格：包含但不仅限于超高通量芯片：单次运行生成≥500M reads（300循环模式，数据通量≥150G）；高通量芯片：≥250M reads；中通量芯片：≥100M reads；小通量芯片：≤50M reads。</w:t>
            </w:r>
          </w:p>
          <w:p w14:paraId="7CC92FE4">
            <w:pPr>
              <w:spacing w:line="360" w:lineRule="auto"/>
              <w:jc w:val="left"/>
              <w:rPr>
                <w:rFonts w:hint="eastAsia" w:ascii="宋体" w:hAnsi="宋体"/>
              </w:rPr>
            </w:pPr>
            <w:r>
              <w:rPr>
                <w:rFonts w:hint="eastAsia" w:ascii="宋体" w:hAnsi="宋体"/>
              </w:rPr>
              <w:t>▲13、通量：在PE150测序模式下，单张芯片单次运行最高数据通量≥150G。</w:t>
            </w:r>
          </w:p>
          <w:p w14:paraId="7D957FD1">
            <w:pPr>
              <w:pStyle w:val="2"/>
              <w:spacing w:line="360" w:lineRule="auto"/>
              <w:rPr>
                <w:rFonts w:hint="eastAsia"/>
                <w:b w:val="0"/>
              </w:rPr>
            </w:pPr>
            <w:r>
              <w:rPr>
                <w:rFonts w:hint="eastAsia" w:ascii="宋体" w:hAnsi="宋体" w:cs="Times New Roman"/>
                <w:b w:val="0"/>
              </w:rPr>
              <w:t>14、灵活上机：提供两种测序模式（单lane单样、混合index上机）及两种文库加载方式（机器加载/分流道独立加载）。</w:t>
            </w:r>
          </w:p>
        </w:tc>
      </w:tr>
      <w:tr w14:paraId="707AEF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3" w:hRule="atLeast"/>
        </w:trPr>
        <w:tc>
          <w:tcPr>
            <w:tcW w:w="2669" w:type="dxa"/>
            <w:gridSpan w:val="2"/>
            <w:noWrap w:val="0"/>
            <w:vAlign w:val="center"/>
          </w:tcPr>
          <w:p w14:paraId="56F85BD2">
            <w:pPr>
              <w:spacing w:line="400" w:lineRule="exact"/>
              <w:jc w:val="center"/>
              <w:rPr>
                <w:rFonts w:ascii="宋体" w:hAnsi="宋体" w:cs="宋体"/>
                <w:b/>
                <w:bCs/>
                <w:szCs w:val="21"/>
              </w:rPr>
            </w:pPr>
            <w:r>
              <w:rPr>
                <w:rFonts w:hint="eastAsia" w:ascii="宋体" w:hAnsi="宋体" w:cs="宋体"/>
                <w:b/>
                <w:bCs/>
                <w:szCs w:val="21"/>
              </w:rPr>
              <w:t>商务要求</w:t>
            </w:r>
          </w:p>
        </w:tc>
        <w:tc>
          <w:tcPr>
            <w:tcW w:w="11505" w:type="dxa"/>
            <w:gridSpan w:val="6"/>
            <w:noWrap w:val="0"/>
            <w:vAlign w:val="center"/>
          </w:tcPr>
          <w:p w14:paraId="0313DF8A">
            <w:pPr>
              <w:spacing w:line="276" w:lineRule="auto"/>
              <w:ind w:firstLine="361" w:firstLineChars="200"/>
              <w:jc w:val="left"/>
              <w:rPr>
                <w:rFonts w:ascii="宋体" w:hAnsi="宋体" w:cs="宋体"/>
                <w:b/>
                <w:sz w:val="18"/>
                <w:szCs w:val="18"/>
              </w:rPr>
            </w:pPr>
            <w:r>
              <w:rPr>
                <w:rFonts w:hint="eastAsia" w:ascii="宋体" w:hAnsi="宋体" w:cs="宋体"/>
                <w:b/>
                <w:sz w:val="18"/>
                <w:szCs w:val="18"/>
                <w:lang w:val="en-US" w:eastAsia="zh-CN"/>
              </w:rPr>
              <w:t>中选</w:t>
            </w:r>
            <w:r>
              <w:rPr>
                <w:rFonts w:hint="eastAsia" w:ascii="宋体" w:hAnsi="宋体" w:cs="宋体"/>
                <w:b/>
                <w:sz w:val="18"/>
                <w:szCs w:val="18"/>
              </w:rPr>
              <w:t>设备质量标准和包装、交货、安装、调试、验收：</w:t>
            </w:r>
          </w:p>
          <w:p w14:paraId="599DAB7E">
            <w:pPr>
              <w:spacing w:line="276" w:lineRule="auto"/>
              <w:ind w:firstLine="360" w:firstLineChars="200"/>
              <w:jc w:val="left"/>
              <w:rPr>
                <w:rFonts w:hint="eastAsia" w:ascii="宋体" w:hAnsi="宋体" w:cs="宋体"/>
                <w:bCs/>
                <w:sz w:val="18"/>
                <w:szCs w:val="18"/>
              </w:rPr>
            </w:pPr>
            <w:r>
              <w:rPr>
                <w:rFonts w:hint="eastAsia" w:ascii="宋体" w:hAnsi="宋体" w:cs="宋体"/>
                <w:bCs/>
                <w:sz w:val="18"/>
                <w:szCs w:val="18"/>
              </w:rPr>
              <w:t>1.质量标准：</w:t>
            </w:r>
          </w:p>
          <w:p w14:paraId="616FF512">
            <w:pPr>
              <w:spacing w:line="276" w:lineRule="auto"/>
              <w:ind w:firstLine="360" w:firstLineChars="200"/>
              <w:jc w:val="left"/>
              <w:rPr>
                <w:rFonts w:hint="eastAsia" w:ascii="宋体" w:hAnsi="宋体" w:cs="宋体"/>
                <w:bCs/>
                <w:sz w:val="18"/>
                <w:szCs w:val="18"/>
              </w:rPr>
            </w:pPr>
            <w:r>
              <w:rPr>
                <w:rFonts w:hint="eastAsia" w:ascii="宋体" w:hAnsi="宋体" w:cs="宋体"/>
                <w:bCs/>
                <w:sz w:val="18"/>
                <w:szCs w:val="18"/>
                <w:lang w:val="en-US" w:eastAsia="zh-CN"/>
              </w:rPr>
              <w:t>中选</w:t>
            </w:r>
            <w:r>
              <w:rPr>
                <w:rFonts w:hint="eastAsia" w:ascii="宋体" w:hAnsi="宋体" w:cs="宋体"/>
                <w:bCs/>
                <w:sz w:val="18"/>
                <w:szCs w:val="18"/>
              </w:rPr>
              <w:t>方应保证合同设备是按投标文件要求、国家标准、行业标准和原厂标准对向甲方提供合格产品，可以为非全新产品，但需符合</w:t>
            </w:r>
            <w:r>
              <w:rPr>
                <w:rFonts w:hint="eastAsia" w:ascii="宋体" w:hAnsi="宋体" w:cs="宋体"/>
                <w:bCs/>
                <w:sz w:val="18"/>
                <w:szCs w:val="18"/>
                <w:lang w:val="en-US" w:eastAsia="zh-CN"/>
              </w:rPr>
              <w:t>议价</w:t>
            </w:r>
            <w:r>
              <w:rPr>
                <w:rFonts w:hint="eastAsia" w:ascii="宋体" w:hAnsi="宋体" w:cs="宋体"/>
                <w:bCs/>
                <w:sz w:val="18"/>
                <w:szCs w:val="18"/>
              </w:rPr>
              <w:t>时设备要求，其质量、规格及技术特征符合国家标准、规范及</w:t>
            </w:r>
            <w:r>
              <w:rPr>
                <w:rFonts w:hint="eastAsia" w:ascii="宋体" w:hAnsi="宋体" w:cs="宋体"/>
                <w:bCs/>
                <w:sz w:val="18"/>
                <w:szCs w:val="18"/>
                <w:lang w:val="en-US" w:eastAsia="zh-CN"/>
              </w:rPr>
              <w:t>需求</w:t>
            </w:r>
            <w:r>
              <w:rPr>
                <w:rFonts w:hint="eastAsia" w:ascii="宋体" w:hAnsi="宋体" w:cs="宋体"/>
                <w:bCs/>
                <w:sz w:val="18"/>
                <w:szCs w:val="18"/>
              </w:rPr>
              <w:t>文件的要求。租赁的仪器设备所使用的软件如有更新的，</w:t>
            </w:r>
            <w:r>
              <w:rPr>
                <w:rFonts w:hint="eastAsia" w:ascii="宋体" w:hAnsi="宋体" w:cs="宋体"/>
                <w:bCs/>
                <w:sz w:val="18"/>
                <w:szCs w:val="18"/>
                <w:lang w:val="en-US" w:eastAsia="zh-CN"/>
              </w:rPr>
              <w:t>中选</w:t>
            </w:r>
            <w:r>
              <w:rPr>
                <w:rFonts w:hint="eastAsia" w:ascii="宋体" w:hAnsi="宋体" w:cs="宋体"/>
                <w:bCs/>
                <w:sz w:val="18"/>
                <w:szCs w:val="18"/>
              </w:rPr>
              <w:t>方应免费帮助升级。</w:t>
            </w:r>
          </w:p>
          <w:p w14:paraId="101F0ED5">
            <w:pPr>
              <w:spacing w:line="276" w:lineRule="auto"/>
              <w:ind w:firstLine="360" w:firstLineChars="200"/>
              <w:jc w:val="left"/>
              <w:rPr>
                <w:rFonts w:hint="eastAsia" w:ascii="宋体" w:hAnsi="宋体" w:cs="宋体"/>
                <w:caps/>
                <w:sz w:val="18"/>
                <w:szCs w:val="18"/>
              </w:rPr>
            </w:pPr>
            <w:r>
              <w:rPr>
                <w:rFonts w:hint="eastAsia" w:ascii="宋体" w:hAnsi="宋体" w:cs="宋体"/>
                <w:caps/>
                <w:sz w:val="18"/>
                <w:szCs w:val="18"/>
              </w:rPr>
              <w:t>2.若甲方提供的设备无法满足乙方使用需求，或经常出现故障影响到乙方日常使用的，甲方应当更换同规格设备供乙方使用。</w:t>
            </w:r>
          </w:p>
          <w:p w14:paraId="5E47B752">
            <w:pPr>
              <w:spacing w:line="276" w:lineRule="auto"/>
              <w:ind w:firstLine="360" w:firstLineChars="200"/>
              <w:jc w:val="left"/>
              <w:rPr>
                <w:rFonts w:hint="eastAsia" w:ascii="宋体" w:hAnsi="宋体" w:cs="宋体"/>
                <w:caps/>
                <w:sz w:val="18"/>
                <w:szCs w:val="18"/>
              </w:rPr>
            </w:pPr>
            <w:r>
              <w:rPr>
                <w:rFonts w:hint="eastAsia" w:ascii="宋体" w:hAnsi="宋体" w:cs="宋体"/>
                <w:caps/>
                <w:sz w:val="18"/>
                <w:szCs w:val="18"/>
              </w:rPr>
              <w:t>3.甲方提供设备应在设备铭牌规定有效期内，铭牌规定有效期外设备应予更新。</w:t>
            </w:r>
          </w:p>
          <w:p w14:paraId="6A378CEA">
            <w:pPr>
              <w:spacing w:line="276" w:lineRule="auto"/>
              <w:ind w:firstLine="360" w:firstLineChars="200"/>
              <w:jc w:val="left"/>
              <w:rPr>
                <w:rFonts w:hint="eastAsia" w:ascii="宋体" w:hAnsi="宋体" w:cs="宋体"/>
                <w:bCs/>
                <w:sz w:val="18"/>
                <w:szCs w:val="18"/>
              </w:rPr>
            </w:pPr>
            <w:r>
              <w:rPr>
                <w:rFonts w:hint="eastAsia" w:ascii="宋体" w:hAnsi="宋体" w:cs="宋体"/>
                <w:bCs/>
                <w:sz w:val="18"/>
                <w:szCs w:val="18"/>
              </w:rPr>
              <w:t>4.设备包装均应有良好的防湿、防锈、防潮、防雨、防腐及防碰撞的措施。凡由于包装不良造成的损失和由此产生的费用均由</w:t>
            </w:r>
            <w:r>
              <w:rPr>
                <w:rFonts w:hint="eastAsia" w:ascii="宋体" w:hAnsi="宋体" w:cs="宋体"/>
                <w:bCs/>
                <w:sz w:val="18"/>
                <w:szCs w:val="18"/>
                <w:lang w:val="en-US" w:eastAsia="zh-CN"/>
              </w:rPr>
              <w:t>中选方</w:t>
            </w:r>
            <w:r>
              <w:rPr>
                <w:rFonts w:hint="eastAsia" w:ascii="宋体" w:hAnsi="宋体" w:cs="宋体"/>
                <w:bCs/>
                <w:sz w:val="18"/>
                <w:szCs w:val="18"/>
              </w:rPr>
              <w:t>承担。</w:t>
            </w:r>
          </w:p>
          <w:p w14:paraId="73BCC2EE">
            <w:pPr>
              <w:spacing w:line="276" w:lineRule="auto"/>
              <w:ind w:firstLine="360" w:firstLineChars="200"/>
              <w:jc w:val="left"/>
              <w:rPr>
                <w:rFonts w:hint="eastAsia" w:ascii="宋体" w:hAnsi="宋体" w:cs="宋体"/>
                <w:bCs/>
                <w:sz w:val="18"/>
                <w:szCs w:val="18"/>
              </w:rPr>
            </w:pPr>
            <w:r>
              <w:rPr>
                <w:rFonts w:hint="eastAsia" w:ascii="宋体" w:hAnsi="宋体" w:cs="宋体"/>
                <w:bCs/>
                <w:sz w:val="18"/>
                <w:szCs w:val="18"/>
              </w:rPr>
              <w:t>5.交货时间：合同签订后30天内。</w:t>
            </w:r>
          </w:p>
          <w:p w14:paraId="52995875">
            <w:pPr>
              <w:spacing w:line="276" w:lineRule="auto"/>
              <w:ind w:firstLine="360" w:firstLineChars="200"/>
              <w:jc w:val="left"/>
              <w:rPr>
                <w:rFonts w:hint="eastAsia" w:ascii="宋体" w:hAnsi="宋体" w:cs="宋体"/>
                <w:bCs/>
                <w:sz w:val="18"/>
                <w:szCs w:val="18"/>
              </w:rPr>
            </w:pPr>
            <w:r>
              <w:rPr>
                <w:rFonts w:hint="eastAsia" w:ascii="宋体" w:hAnsi="宋体" w:cs="宋体"/>
                <w:bCs/>
                <w:sz w:val="18"/>
                <w:szCs w:val="18"/>
              </w:rPr>
              <w:t>6. 交货地点：用户指定地点。</w:t>
            </w:r>
          </w:p>
          <w:p w14:paraId="58BA329F">
            <w:pPr>
              <w:spacing w:line="276" w:lineRule="auto"/>
              <w:ind w:firstLine="360" w:firstLineChars="200"/>
              <w:jc w:val="left"/>
              <w:rPr>
                <w:rFonts w:hint="eastAsia" w:ascii="宋体" w:hAnsi="宋体" w:cs="宋体"/>
                <w:bCs/>
                <w:sz w:val="18"/>
                <w:szCs w:val="18"/>
              </w:rPr>
            </w:pPr>
            <w:r>
              <w:rPr>
                <w:rFonts w:hint="eastAsia" w:ascii="宋体" w:hAnsi="宋体" w:cs="宋体"/>
                <w:bCs/>
                <w:sz w:val="18"/>
                <w:szCs w:val="18"/>
              </w:rPr>
              <w:t xml:space="preserve">7. </w:t>
            </w:r>
            <w:r>
              <w:rPr>
                <w:rFonts w:hint="eastAsia" w:ascii="宋体" w:hAnsi="宋体" w:cs="宋体"/>
                <w:bCs/>
                <w:sz w:val="18"/>
                <w:szCs w:val="18"/>
                <w:lang w:val="en-US" w:eastAsia="zh-CN"/>
              </w:rPr>
              <w:t>中选</w:t>
            </w:r>
            <w:r>
              <w:rPr>
                <w:rFonts w:hint="eastAsia" w:ascii="宋体" w:hAnsi="宋体" w:cs="宋体"/>
                <w:bCs/>
                <w:sz w:val="18"/>
                <w:szCs w:val="18"/>
              </w:rPr>
              <w:t>设备的安装调试：</w:t>
            </w:r>
          </w:p>
          <w:p w14:paraId="0AD8B616">
            <w:pPr>
              <w:spacing w:line="276" w:lineRule="auto"/>
              <w:ind w:firstLine="360" w:firstLineChars="200"/>
              <w:jc w:val="left"/>
              <w:rPr>
                <w:rFonts w:hint="eastAsia" w:ascii="宋体" w:hAnsi="宋体" w:cs="宋体"/>
                <w:bCs/>
                <w:sz w:val="18"/>
                <w:szCs w:val="18"/>
              </w:rPr>
            </w:pPr>
            <w:r>
              <w:rPr>
                <w:rFonts w:hint="eastAsia" w:ascii="宋体" w:hAnsi="宋体" w:cs="宋体"/>
                <w:bCs/>
                <w:sz w:val="18"/>
                <w:szCs w:val="18"/>
              </w:rPr>
              <w:t xml:space="preserve">8. </w:t>
            </w:r>
            <w:r>
              <w:rPr>
                <w:rFonts w:hint="eastAsia" w:ascii="宋体" w:hAnsi="宋体" w:cs="宋体"/>
                <w:bCs/>
                <w:sz w:val="18"/>
                <w:szCs w:val="18"/>
                <w:lang w:val="en-US" w:eastAsia="zh-CN"/>
              </w:rPr>
              <w:t>中选</w:t>
            </w:r>
            <w:r>
              <w:rPr>
                <w:rFonts w:hint="eastAsia" w:ascii="宋体" w:hAnsi="宋体" w:cs="宋体"/>
                <w:bCs/>
                <w:sz w:val="18"/>
                <w:szCs w:val="18"/>
              </w:rPr>
              <w:t>方负责合同项下设备的运输、安装及调试，一切费用由中标方负责。</w:t>
            </w:r>
          </w:p>
          <w:p w14:paraId="28B07D8B">
            <w:pPr>
              <w:spacing w:line="276" w:lineRule="auto"/>
              <w:ind w:firstLine="360" w:firstLineChars="200"/>
              <w:jc w:val="left"/>
              <w:rPr>
                <w:rFonts w:hint="eastAsia" w:ascii="宋体" w:hAnsi="宋体" w:cs="宋体"/>
                <w:b/>
                <w:sz w:val="18"/>
                <w:szCs w:val="18"/>
              </w:rPr>
            </w:pPr>
            <w:r>
              <w:rPr>
                <w:rFonts w:hint="eastAsia" w:ascii="宋体" w:hAnsi="宋体" w:cs="宋体"/>
                <w:bCs/>
                <w:sz w:val="18"/>
                <w:szCs w:val="18"/>
              </w:rPr>
              <w:t xml:space="preserve">9. </w:t>
            </w:r>
            <w:r>
              <w:rPr>
                <w:rFonts w:hint="eastAsia" w:ascii="宋体" w:hAnsi="宋体" w:cs="宋体"/>
                <w:bCs/>
                <w:sz w:val="18"/>
                <w:szCs w:val="18"/>
                <w:lang w:val="en-US" w:eastAsia="zh-CN"/>
              </w:rPr>
              <w:t>中选</w:t>
            </w:r>
            <w:r>
              <w:rPr>
                <w:rFonts w:hint="eastAsia" w:ascii="宋体" w:hAnsi="宋体" w:cs="宋体"/>
                <w:bCs/>
                <w:sz w:val="18"/>
                <w:szCs w:val="18"/>
              </w:rPr>
              <w:t>方安装时必须对各安装场地内的其它设备、设施有良好保护措施</w:t>
            </w:r>
            <w:r>
              <w:rPr>
                <w:rFonts w:hint="eastAsia" w:ascii="宋体" w:hAnsi="宋体" w:cs="宋体"/>
                <w:b/>
                <w:sz w:val="18"/>
                <w:szCs w:val="18"/>
              </w:rPr>
              <w:t>。</w:t>
            </w:r>
          </w:p>
          <w:p w14:paraId="7C10F49B">
            <w:pPr>
              <w:pStyle w:val="3"/>
              <w:spacing w:line="276" w:lineRule="auto"/>
              <w:jc w:val="left"/>
              <w:rPr>
                <w:rFonts w:hint="eastAsia" w:ascii="宋体" w:hAnsi="宋体" w:cs="宋体"/>
                <w:sz w:val="18"/>
                <w:szCs w:val="18"/>
              </w:rPr>
            </w:pPr>
            <w:r>
              <w:rPr>
                <w:rFonts w:hint="eastAsia" w:ascii="宋体" w:hAnsi="宋体" w:cs="宋体"/>
                <w:b/>
                <w:bCs/>
                <w:szCs w:val="21"/>
              </w:rPr>
              <w:t>★</w:t>
            </w:r>
            <w:r>
              <w:rPr>
                <w:rFonts w:hint="eastAsia" w:ascii="宋体" w:hAnsi="宋体" w:cs="宋体"/>
                <w:b/>
                <w:bCs/>
                <w:sz w:val="18"/>
                <w:szCs w:val="18"/>
              </w:rPr>
              <w:t>维保售后服务：</w:t>
            </w:r>
          </w:p>
          <w:p w14:paraId="59637C1D">
            <w:pPr>
              <w:pStyle w:val="6"/>
              <w:spacing w:line="276" w:lineRule="auto"/>
              <w:ind w:firstLine="360" w:firstLineChars="200"/>
              <w:jc w:val="left"/>
              <w:rPr>
                <w:rFonts w:hint="eastAsia" w:ascii="宋体" w:hAnsi="宋体" w:cs="宋体"/>
                <w:bCs/>
                <w:spacing w:val="0"/>
                <w:kern w:val="2"/>
                <w:sz w:val="18"/>
                <w:szCs w:val="18"/>
                <w:highlight w:val="yellow"/>
              </w:rPr>
            </w:pPr>
            <w:r>
              <w:rPr>
                <w:rFonts w:hint="eastAsia" w:ascii="宋体" w:hAnsi="宋体" w:cs="宋体"/>
                <w:bCs/>
                <w:spacing w:val="0"/>
                <w:kern w:val="2"/>
                <w:sz w:val="18"/>
                <w:szCs w:val="18"/>
              </w:rPr>
              <w:t>1.保修期限为设备安装调试经验收合格且在租赁期内。</w:t>
            </w:r>
          </w:p>
          <w:p w14:paraId="1C15AA84">
            <w:pPr>
              <w:pStyle w:val="6"/>
              <w:spacing w:line="276" w:lineRule="auto"/>
              <w:ind w:firstLine="360" w:firstLineChars="200"/>
              <w:jc w:val="left"/>
              <w:rPr>
                <w:rFonts w:hint="eastAsia" w:ascii="宋体" w:hAnsi="宋体" w:cs="宋体"/>
                <w:bCs/>
                <w:spacing w:val="0"/>
                <w:kern w:val="2"/>
                <w:sz w:val="18"/>
                <w:szCs w:val="18"/>
              </w:rPr>
            </w:pPr>
            <w:r>
              <w:rPr>
                <w:rFonts w:hint="eastAsia" w:ascii="宋体" w:hAnsi="宋体" w:cs="宋体"/>
                <w:bCs/>
                <w:spacing w:val="0"/>
                <w:kern w:val="2"/>
                <w:sz w:val="18"/>
                <w:szCs w:val="18"/>
              </w:rPr>
              <w:t>2.</w:t>
            </w:r>
            <w:r>
              <w:rPr>
                <w:rFonts w:hint="eastAsia" w:ascii="宋体" w:hAnsi="宋体" w:cs="宋体"/>
                <w:bCs/>
                <w:sz w:val="18"/>
                <w:szCs w:val="18"/>
              </w:rPr>
              <w:t>设备租赁期间，由</w:t>
            </w:r>
            <w:r>
              <w:rPr>
                <w:rFonts w:hint="eastAsia" w:ascii="宋体" w:hAnsi="宋体" w:cs="宋体"/>
                <w:bCs/>
                <w:sz w:val="18"/>
                <w:szCs w:val="18"/>
                <w:lang w:val="en-US" w:eastAsia="zh-CN"/>
              </w:rPr>
              <w:t>中选</w:t>
            </w:r>
            <w:r>
              <w:rPr>
                <w:rFonts w:hint="eastAsia" w:ascii="宋体" w:hAnsi="宋体" w:cs="宋体"/>
                <w:bCs/>
                <w:sz w:val="18"/>
                <w:szCs w:val="18"/>
              </w:rPr>
              <w:t>方负责设备维保。保修期内由具备设备原厂授权资质的技术人员上门提供设备巡检、保养、质控服务</w:t>
            </w:r>
            <w:r>
              <w:rPr>
                <w:rFonts w:hint="eastAsia" w:ascii="宋体" w:hAnsi="宋体" w:cs="宋体"/>
                <w:bCs/>
                <w:spacing w:val="0"/>
                <w:kern w:val="2"/>
                <w:sz w:val="18"/>
                <w:szCs w:val="18"/>
              </w:rPr>
              <w:t>。</w:t>
            </w:r>
          </w:p>
          <w:p w14:paraId="39E3A3AE">
            <w:pPr>
              <w:pStyle w:val="6"/>
              <w:spacing w:line="276" w:lineRule="auto"/>
              <w:ind w:firstLine="360" w:firstLineChars="200"/>
              <w:jc w:val="left"/>
              <w:rPr>
                <w:rFonts w:ascii="宋体" w:hAnsi="宋体" w:cs="宋体"/>
                <w:bCs/>
                <w:spacing w:val="0"/>
                <w:kern w:val="2"/>
                <w:sz w:val="18"/>
                <w:szCs w:val="18"/>
              </w:rPr>
            </w:pPr>
            <w:r>
              <w:rPr>
                <w:rFonts w:hint="eastAsia" w:ascii="宋体" w:hAnsi="宋体" w:cs="宋体"/>
                <w:bCs/>
                <w:spacing w:val="0"/>
                <w:kern w:val="2"/>
                <w:sz w:val="18"/>
                <w:szCs w:val="18"/>
              </w:rPr>
              <w:t>3.在设备整个租赁期内，</w:t>
            </w:r>
            <w:r>
              <w:rPr>
                <w:rFonts w:hint="eastAsia" w:ascii="宋体" w:hAnsi="宋体" w:cs="宋体"/>
                <w:bCs/>
                <w:spacing w:val="0"/>
                <w:kern w:val="2"/>
                <w:sz w:val="18"/>
                <w:szCs w:val="18"/>
                <w:lang w:val="en-US" w:eastAsia="zh-CN"/>
              </w:rPr>
              <w:t>中选</w:t>
            </w:r>
            <w:r>
              <w:rPr>
                <w:rFonts w:hint="eastAsia" w:ascii="宋体" w:hAnsi="宋体" w:cs="宋体"/>
                <w:bCs/>
                <w:sz w:val="18"/>
                <w:szCs w:val="18"/>
              </w:rPr>
              <w:t>方</w:t>
            </w:r>
            <w:r>
              <w:rPr>
                <w:rFonts w:hint="eastAsia" w:ascii="宋体" w:hAnsi="宋体" w:cs="宋体"/>
                <w:bCs/>
                <w:spacing w:val="0"/>
                <w:kern w:val="2"/>
                <w:sz w:val="18"/>
                <w:szCs w:val="18"/>
              </w:rPr>
              <w:t>应确保设备的正常使用，在接到</w:t>
            </w:r>
            <w:r>
              <w:rPr>
                <w:rFonts w:hint="eastAsia" w:ascii="宋体" w:hAnsi="宋体" w:cs="宋体"/>
                <w:bCs/>
                <w:sz w:val="18"/>
                <w:szCs w:val="18"/>
              </w:rPr>
              <w:t>医院</w:t>
            </w:r>
            <w:r>
              <w:rPr>
                <w:rFonts w:hint="eastAsia" w:ascii="宋体" w:hAnsi="宋体" w:cs="宋体"/>
                <w:bCs/>
                <w:spacing w:val="0"/>
                <w:kern w:val="2"/>
                <w:sz w:val="18"/>
                <w:szCs w:val="18"/>
              </w:rPr>
              <w:t>维修要求后2小时内做出回应，并在</w:t>
            </w:r>
            <w:r>
              <w:rPr>
                <w:rFonts w:ascii="宋体" w:hAnsi="宋体" w:cs="宋体"/>
                <w:bCs/>
                <w:spacing w:val="0"/>
                <w:kern w:val="2"/>
                <w:sz w:val="18"/>
                <w:szCs w:val="18"/>
              </w:rPr>
              <w:t>24</w:t>
            </w:r>
            <w:r>
              <w:rPr>
                <w:rFonts w:hint="eastAsia" w:ascii="宋体" w:hAnsi="宋体" w:cs="宋体"/>
                <w:bCs/>
                <w:spacing w:val="0"/>
                <w:kern w:val="2"/>
                <w:sz w:val="18"/>
                <w:szCs w:val="18"/>
              </w:rPr>
              <w:t>小时内派人员到达用户现场实施维修并排除故障。</w:t>
            </w:r>
          </w:p>
        </w:tc>
      </w:tr>
      <w:tr w14:paraId="3D697D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trPr>
        <w:tc>
          <w:tcPr>
            <w:tcW w:w="2669" w:type="dxa"/>
            <w:gridSpan w:val="2"/>
            <w:noWrap w:val="0"/>
            <w:vAlign w:val="center"/>
          </w:tcPr>
          <w:p w14:paraId="668EC314">
            <w:pPr>
              <w:spacing w:line="240" w:lineRule="exact"/>
              <w:jc w:val="center"/>
              <w:rPr>
                <w:rFonts w:ascii="宋体" w:hAnsi="宋体" w:cs="宋体"/>
                <w:b/>
                <w:bCs/>
                <w:szCs w:val="21"/>
              </w:rPr>
            </w:pPr>
            <w:r>
              <w:rPr>
                <w:rFonts w:hint="eastAsia" w:ascii="宋体" w:hAnsi="宋体" w:cs="宋体"/>
                <w:b/>
                <w:bCs/>
                <w:szCs w:val="21"/>
              </w:rPr>
              <w:t>供应商特定资格要求</w:t>
            </w:r>
          </w:p>
        </w:tc>
        <w:tc>
          <w:tcPr>
            <w:tcW w:w="11505" w:type="dxa"/>
            <w:gridSpan w:val="6"/>
            <w:noWrap w:val="0"/>
            <w:vAlign w:val="center"/>
          </w:tcPr>
          <w:p w14:paraId="00DD9759">
            <w:pPr>
              <w:spacing w:line="276" w:lineRule="auto"/>
              <w:jc w:val="left"/>
              <w:rPr>
                <w:rFonts w:hint="eastAsia" w:ascii="方正仿宋_GBK" w:hAnsi="宋体" w:eastAsia="方正仿宋_GBK" w:cs="宋体"/>
                <w:szCs w:val="21"/>
              </w:rPr>
            </w:pPr>
            <w:r>
              <w:rPr>
                <w:rFonts w:hint="eastAsia" w:ascii="方正仿宋_GBK" w:hAnsi="宋体" w:eastAsia="方正仿宋_GBK" w:cs="宋体"/>
                <w:szCs w:val="21"/>
              </w:rPr>
              <w:t>1.在中华人民共和国境内注册的法人或其他组织或自然人， 响应时提交有效的营业执照（或事业法人登记证或身份证等相关证明）副本复印件。</w:t>
            </w:r>
          </w:p>
          <w:p w14:paraId="25C73766">
            <w:pPr>
              <w:spacing w:line="276" w:lineRule="auto"/>
              <w:jc w:val="left"/>
              <w:rPr>
                <w:rFonts w:hint="eastAsia" w:ascii="方正仿宋_GBK" w:hAnsi="宋体" w:eastAsia="方正仿宋_GBK" w:cs="宋体"/>
                <w:szCs w:val="21"/>
              </w:rPr>
            </w:pPr>
            <w:r>
              <w:rPr>
                <w:rFonts w:hint="eastAsia" w:ascii="方正仿宋_GBK" w:hAnsi="宋体" w:eastAsia="方正仿宋_GBK" w:cs="宋体"/>
                <w:szCs w:val="21"/>
              </w:rPr>
              <w:t>2.参加政府租赁活动前 3 年内在经营活动中没有重大违法记录的书面声明。</w:t>
            </w:r>
          </w:p>
          <w:p w14:paraId="458BCE39">
            <w:pPr>
              <w:spacing w:line="276" w:lineRule="auto"/>
              <w:jc w:val="left"/>
              <w:rPr>
                <w:rFonts w:hint="eastAsia" w:ascii="方正仿宋_GBK" w:hAnsi="宋体" w:eastAsia="方正仿宋_GBK" w:cs="宋体"/>
                <w:szCs w:val="21"/>
              </w:rPr>
            </w:pPr>
            <w:r>
              <w:rPr>
                <w:rFonts w:hint="eastAsia" w:ascii="方正仿宋_GBK" w:hAnsi="宋体" w:eastAsia="方正仿宋_GBK" w:cs="宋体"/>
                <w:szCs w:val="21"/>
              </w:rPr>
              <w:t>3.供应商必须符合法律、行政法规规定的其他条件：单位负责人为同一人或者存在直接控股、管理关系的不同供应商，不得同时参加本租赁项目（包组）</w:t>
            </w:r>
            <w:r>
              <w:rPr>
                <w:rFonts w:hint="eastAsia" w:ascii="方正仿宋_GBK" w:hAnsi="宋体" w:eastAsia="方正仿宋_GBK" w:cs="宋体"/>
                <w:szCs w:val="21"/>
                <w:lang w:val="en-US" w:eastAsia="zh-CN"/>
              </w:rPr>
              <w:t>响应</w:t>
            </w:r>
            <w:r>
              <w:rPr>
                <w:rFonts w:hint="eastAsia" w:ascii="方正仿宋_GBK" w:hAnsi="宋体" w:eastAsia="方正仿宋_GBK" w:cs="宋体"/>
                <w:szCs w:val="21"/>
              </w:rPr>
              <w:t>。 为本项目提供整体设计、规范编制或者项目管理、监理、检测等服务的供应商，不得再参与本项目</w:t>
            </w:r>
            <w:r>
              <w:rPr>
                <w:rFonts w:hint="eastAsia" w:ascii="方正仿宋_GBK" w:hAnsi="宋体" w:eastAsia="方正仿宋_GBK" w:cs="宋体"/>
                <w:szCs w:val="21"/>
                <w:lang w:val="en-US" w:eastAsia="zh-CN"/>
              </w:rPr>
              <w:t>响应</w:t>
            </w:r>
            <w:r>
              <w:rPr>
                <w:rFonts w:hint="eastAsia" w:ascii="方正仿宋_GBK" w:hAnsi="宋体" w:eastAsia="方正仿宋_GBK" w:cs="宋体"/>
                <w:szCs w:val="21"/>
              </w:rPr>
              <w:t>。(供应商出具声明函)。</w:t>
            </w:r>
          </w:p>
          <w:p w14:paraId="0DD9B1CA">
            <w:pPr>
              <w:spacing w:line="276" w:lineRule="auto"/>
              <w:jc w:val="left"/>
              <w:rPr>
                <w:rFonts w:hint="eastAsia" w:ascii="方正仿宋_GBK" w:hAnsi="宋体" w:eastAsia="方正仿宋_GBK" w:cs="宋体"/>
                <w:szCs w:val="21"/>
              </w:rPr>
            </w:pPr>
            <w:r>
              <w:rPr>
                <w:rFonts w:hint="eastAsia" w:ascii="方正仿宋_GBK" w:hAnsi="宋体" w:eastAsia="方正仿宋_GBK" w:cs="宋体"/>
                <w:szCs w:val="21"/>
              </w:rPr>
              <w:t>4.</w:t>
            </w:r>
            <w:r>
              <w:rPr>
                <w:rFonts w:hint="eastAsia"/>
              </w:rPr>
              <w:t xml:space="preserve"> </w:t>
            </w:r>
            <w:r>
              <w:rPr>
                <w:rFonts w:hint="eastAsia" w:ascii="方正仿宋_GBK" w:hAnsi="宋体" w:eastAsia="方正仿宋_GBK" w:cs="宋体"/>
                <w:szCs w:val="21"/>
              </w:rPr>
              <w:t>①如</w:t>
            </w:r>
            <w:r>
              <w:rPr>
                <w:rFonts w:hint="eastAsia" w:ascii="方正仿宋_GBK" w:hAnsi="宋体" w:eastAsia="方正仿宋_GBK" w:cs="宋体"/>
                <w:szCs w:val="21"/>
                <w:lang w:val="en-US" w:eastAsia="zh-CN"/>
              </w:rPr>
              <w:t>响应</w:t>
            </w:r>
            <w:r>
              <w:rPr>
                <w:rFonts w:hint="eastAsia" w:ascii="方正仿宋_GBK" w:hAnsi="宋体" w:eastAsia="方正仿宋_GBK" w:cs="宋体"/>
                <w:szCs w:val="21"/>
              </w:rPr>
              <w:t>人为生产企业，所投产品为第二、三类医疗器械：提供监督管理部门签发的有效的《医疗器械生产许可证》或《医疗器械注册证》复印件。如</w:t>
            </w:r>
            <w:r>
              <w:rPr>
                <w:rFonts w:hint="eastAsia" w:ascii="方正仿宋_GBK" w:hAnsi="宋体" w:eastAsia="方正仿宋_GBK" w:cs="宋体"/>
                <w:szCs w:val="21"/>
                <w:lang w:val="en-US" w:eastAsia="zh-CN"/>
              </w:rPr>
              <w:t>响应</w:t>
            </w:r>
            <w:r>
              <w:rPr>
                <w:rFonts w:hint="eastAsia" w:ascii="方正仿宋_GBK" w:hAnsi="宋体" w:eastAsia="方正仿宋_GBK" w:cs="宋体"/>
                <w:szCs w:val="21"/>
              </w:rPr>
              <w:t>人为经营企业，所投产品为第二类医疗器械：</w:t>
            </w:r>
            <w:r>
              <w:rPr>
                <w:rFonts w:hint="eastAsia" w:ascii="方正仿宋_GBK" w:hAnsi="宋体" w:eastAsia="方正仿宋_GBK" w:cs="宋体"/>
                <w:szCs w:val="21"/>
                <w:lang w:val="en-US" w:eastAsia="zh-CN"/>
              </w:rPr>
              <w:t>响应</w:t>
            </w:r>
            <w:r>
              <w:rPr>
                <w:rFonts w:hint="eastAsia" w:ascii="方正仿宋_GBK" w:hAnsi="宋体" w:eastAsia="方正仿宋_GBK" w:cs="宋体"/>
                <w:szCs w:val="21"/>
              </w:rPr>
              <w:t>时提供监督管理部门签发的有效的《医疗器械经营备案凭证》复印件，或承诺供货时提供监督管理部门签发的有效的《医疗器械经营备案凭证》复印件(或提供承诺书，不提供视为不响应); 如</w:t>
            </w:r>
            <w:r>
              <w:rPr>
                <w:rFonts w:hint="eastAsia" w:ascii="方正仿宋_GBK" w:hAnsi="宋体" w:eastAsia="方正仿宋_GBK" w:cs="宋体"/>
                <w:szCs w:val="21"/>
                <w:lang w:val="en-US" w:eastAsia="zh-CN"/>
              </w:rPr>
              <w:t>响应</w:t>
            </w:r>
            <w:r>
              <w:rPr>
                <w:rFonts w:hint="eastAsia" w:ascii="方正仿宋_GBK" w:hAnsi="宋体" w:eastAsia="方正仿宋_GBK" w:cs="宋体"/>
                <w:szCs w:val="21"/>
              </w:rPr>
              <w:t>人为经营企业，所投产品为第三类医疗器械，</w:t>
            </w:r>
            <w:r>
              <w:rPr>
                <w:rFonts w:hint="eastAsia" w:ascii="方正仿宋_GBK" w:hAnsi="宋体" w:eastAsia="方正仿宋_GBK" w:cs="宋体"/>
                <w:szCs w:val="21"/>
                <w:lang w:val="en-US" w:eastAsia="zh-CN"/>
              </w:rPr>
              <w:t>响应</w:t>
            </w:r>
            <w:r>
              <w:rPr>
                <w:rFonts w:hint="eastAsia" w:ascii="方正仿宋_GBK" w:hAnsi="宋体" w:eastAsia="方正仿宋_GBK" w:cs="宋体"/>
                <w:szCs w:val="21"/>
              </w:rPr>
              <w:t>时提供监督管理部门签发的有效的《医疗器械经营许可证》复印件。(如国家另有规定，则适用其规定)。②如所投产品属于第二、三类医疗器械，则必须提供有效的《医疗器械注册证》和《医疗器械生产许可证》复印件。(如国家另有规定，则适用其规定)。</w:t>
            </w:r>
          </w:p>
          <w:p w14:paraId="5346226A">
            <w:pPr>
              <w:spacing w:line="276" w:lineRule="auto"/>
              <w:jc w:val="left"/>
              <w:rPr>
                <w:rFonts w:hint="eastAsia" w:ascii="宋体" w:hAnsi="宋体" w:cs="宋体"/>
                <w:b/>
                <w:bCs/>
                <w:szCs w:val="21"/>
              </w:rPr>
            </w:pPr>
            <w:r>
              <w:rPr>
                <w:rFonts w:hint="eastAsia" w:ascii="方正仿宋_GBK" w:hAnsi="宋体" w:eastAsia="方正仿宋_GBK" w:cs="宋体"/>
                <w:szCs w:val="21"/>
              </w:rPr>
              <w:t>5.本项目不接受联合体</w:t>
            </w:r>
            <w:r>
              <w:rPr>
                <w:rFonts w:hint="eastAsia" w:ascii="方正仿宋_GBK" w:hAnsi="宋体" w:eastAsia="方正仿宋_GBK" w:cs="宋体"/>
                <w:szCs w:val="21"/>
                <w:lang w:val="en-US" w:eastAsia="zh-CN"/>
              </w:rPr>
              <w:t>响应</w:t>
            </w:r>
            <w:r>
              <w:rPr>
                <w:rFonts w:hint="eastAsia" w:ascii="方正仿宋_GBK" w:hAnsi="宋体" w:eastAsia="方正仿宋_GBK" w:cs="宋体"/>
                <w:szCs w:val="21"/>
              </w:rPr>
              <w:t>，不允许</w:t>
            </w:r>
            <w:r>
              <w:rPr>
                <w:rFonts w:hint="eastAsia" w:ascii="方正仿宋_GBK" w:hAnsi="宋体" w:eastAsia="方正仿宋_GBK" w:cs="宋体"/>
                <w:szCs w:val="21"/>
                <w:lang w:val="en-US" w:eastAsia="zh-CN"/>
              </w:rPr>
              <w:t>响应</w:t>
            </w:r>
            <w:r>
              <w:rPr>
                <w:rFonts w:hint="eastAsia" w:ascii="方正仿宋_GBK" w:hAnsi="宋体" w:eastAsia="方正仿宋_GBK" w:cs="宋体"/>
                <w:szCs w:val="21"/>
              </w:rPr>
              <w:t>人对本项目进行分包和转包。</w:t>
            </w:r>
          </w:p>
        </w:tc>
      </w:tr>
      <w:tr w14:paraId="3C9436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669" w:type="dxa"/>
            <w:gridSpan w:val="2"/>
            <w:vMerge w:val="restart"/>
            <w:noWrap w:val="0"/>
            <w:vAlign w:val="center"/>
          </w:tcPr>
          <w:p w14:paraId="1F987F56">
            <w:pPr>
              <w:spacing w:line="240" w:lineRule="exact"/>
              <w:jc w:val="center"/>
              <w:rPr>
                <w:rFonts w:ascii="宋体" w:hAnsi="宋体" w:cs="宋体"/>
                <w:b/>
                <w:bCs/>
                <w:szCs w:val="21"/>
              </w:rPr>
            </w:pPr>
            <w:r>
              <w:rPr>
                <w:rFonts w:hint="eastAsia" w:ascii="宋体" w:hAnsi="宋体" w:cs="宋体"/>
                <w:b/>
                <w:bCs/>
                <w:szCs w:val="21"/>
              </w:rPr>
              <w:t>验收要求</w:t>
            </w:r>
          </w:p>
        </w:tc>
        <w:tc>
          <w:tcPr>
            <w:tcW w:w="5937" w:type="dxa"/>
            <w:gridSpan w:val="5"/>
            <w:noWrap w:val="0"/>
            <w:vAlign w:val="center"/>
          </w:tcPr>
          <w:p w14:paraId="4B284830">
            <w:pPr>
              <w:spacing w:line="400" w:lineRule="exact"/>
              <w:jc w:val="center"/>
              <w:rPr>
                <w:rFonts w:ascii="宋体" w:hAnsi="宋体" w:cs="宋体"/>
                <w:b/>
                <w:bCs/>
                <w:szCs w:val="21"/>
              </w:rPr>
            </w:pPr>
            <w:r>
              <w:rPr>
                <w:rFonts w:hint="eastAsia" w:ascii="宋体" w:hAnsi="宋体" w:cs="宋体"/>
                <w:b/>
                <w:bCs/>
                <w:szCs w:val="21"/>
              </w:rPr>
              <w:t>送货单要求</w:t>
            </w:r>
          </w:p>
        </w:tc>
        <w:tc>
          <w:tcPr>
            <w:tcW w:w="5568" w:type="dxa"/>
            <w:noWrap w:val="0"/>
            <w:vAlign w:val="center"/>
          </w:tcPr>
          <w:p w14:paraId="43296BB4">
            <w:pPr>
              <w:spacing w:line="400" w:lineRule="exact"/>
              <w:jc w:val="center"/>
              <w:rPr>
                <w:rFonts w:ascii="宋体" w:hAnsi="宋体" w:cs="宋体"/>
                <w:b/>
                <w:bCs/>
                <w:szCs w:val="21"/>
              </w:rPr>
            </w:pPr>
            <w:r>
              <w:rPr>
                <w:rFonts w:hint="eastAsia" w:ascii="宋体" w:hAnsi="宋体" w:cs="宋体"/>
                <w:b/>
                <w:bCs/>
                <w:szCs w:val="21"/>
              </w:rPr>
              <w:t>货物交接验收要求</w:t>
            </w:r>
          </w:p>
        </w:tc>
      </w:tr>
      <w:tr w14:paraId="648347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trPr>
        <w:tc>
          <w:tcPr>
            <w:tcW w:w="2669" w:type="dxa"/>
            <w:gridSpan w:val="2"/>
            <w:vMerge w:val="continue"/>
            <w:noWrap w:val="0"/>
            <w:vAlign w:val="center"/>
          </w:tcPr>
          <w:p w14:paraId="79B4A188">
            <w:pPr>
              <w:spacing w:line="400" w:lineRule="exact"/>
              <w:jc w:val="center"/>
              <w:rPr>
                <w:rFonts w:ascii="宋体" w:hAnsi="宋体" w:cs="宋体"/>
                <w:b/>
                <w:bCs/>
                <w:sz w:val="18"/>
                <w:szCs w:val="18"/>
              </w:rPr>
            </w:pPr>
          </w:p>
        </w:tc>
        <w:tc>
          <w:tcPr>
            <w:tcW w:w="5937" w:type="dxa"/>
            <w:gridSpan w:val="5"/>
            <w:noWrap w:val="0"/>
            <w:vAlign w:val="center"/>
          </w:tcPr>
          <w:p w14:paraId="4A22D8C6">
            <w:pPr>
              <w:spacing w:line="440" w:lineRule="exact"/>
              <w:rPr>
                <w:rFonts w:hint="eastAsia" w:ascii="方正仿宋_GBK" w:hAnsi="宋体" w:eastAsia="方正仿宋_GBK" w:cs="宋体"/>
                <w:b/>
                <w:bCs/>
                <w:szCs w:val="21"/>
              </w:rPr>
            </w:pPr>
            <w:r>
              <w:rPr>
                <w:rFonts w:hint="eastAsia" w:ascii="方正仿宋_GBK" w:hAnsi="宋体" w:eastAsia="方正仿宋_GBK" w:cs="宋体"/>
                <w:szCs w:val="21"/>
              </w:rPr>
              <w:t>送货单应包括货物名称、货物规格、货物计量单位、货物数量、货物单价、货物金额合计、合同编号、供应商名称、货物生产厂家名称、货物对应HRP系统的“物品编码”等内容。</w:t>
            </w:r>
          </w:p>
        </w:tc>
        <w:tc>
          <w:tcPr>
            <w:tcW w:w="5568" w:type="dxa"/>
            <w:noWrap w:val="0"/>
            <w:vAlign w:val="center"/>
          </w:tcPr>
          <w:p w14:paraId="5A900BD1">
            <w:pPr>
              <w:spacing w:line="300" w:lineRule="exact"/>
              <w:jc w:val="left"/>
              <w:rPr>
                <w:rFonts w:hint="eastAsia" w:ascii="方正仿宋_GBK" w:hAnsi="仿宋" w:eastAsia="方正仿宋_GBK" w:cs="仿宋"/>
                <w:bCs/>
              </w:rPr>
            </w:pPr>
            <w:r>
              <w:rPr>
                <w:rFonts w:hint="eastAsia" w:ascii="方正仿宋_GBK" w:hAnsi="仿宋" w:eastAsia="方正仿宋_GBK" w:cs="仿宋"/>
                <w:bCs/>
              </w:rPr>
              <w:t>1.货物若有国家标准按照国家标准验收，若无国家标准按行业标准验收，整机无污染，无侵权行为、无任何缺陷隐患，在中国境内可依常规安全合法使用。</w:t>
            </w:r>
          </w:p>
          <w:p w14:paraId="27D2C388">
            <w:pPr>
              <w:spacing w:line="300" w:lineRule="exact"/>
              <w:jc w:val="left"/>
              <w:rPr>
                <w:rFonts w:hint="eastAsia" w:ascii="方正仿宋_GBK" w:hAnsi="仿宋" w:eastAsia="方正仿宋_GBK" w:cs="仿宋"/>
                <w:bCs/>
              </w:rPr>
            </w:pPr>
            <w:r>
              <w:rPr>
                <w:rFonts w:hint="eastAsia" w:ascii="方正仿宋_GBK" w:hAnsi="仿宋" w:eastAsia="方正仿宋_GBK" w:cs="仿宋"/>
                <w:bCs/>
              </w:rPr>
              <w:t>2.进口产品必须具备原产地证明、商检局的检验证明以及其他能够证明合法进货渠道的证明材料。</w:t>
            </w:r>
          </w:p>
          <w:p w14:paraId="5209E773">
            <w:pPr>
              <w:spacing w:line="300" w:lineRule="exact"/>
              <w:jc w:val="left"/>
              <w:rPr>
                <w:rFonts w:hint="eastAsia" w:ascii="方正仿宋_GBK" w:hAnsi="仿宋" w:eastAsia="方正仿宋_GBK" w:cs="仿宋"/>
                <w:bCs/>
              </w:rPr>
            </w:pPr>
            <w:r>
              <w:rPr>
                <w:rFonts w:hint="eastAsia" w:ascii="方正仿宋_GBK" w:hAnsi="仿宋" w:eastAsia="方正仿宋_GBK" w:cs="仿宋"/>
                <w:bCs/>
              </w:rPr>
              <w:t>3.货物具备完整的出厂合格证，序列号、包装箱号与出厂批号一致，并可供甲方追索查阅。所有随设备的附件必须齐全。</w:t>
            </w:r>
          </w:p>
          <w:p w14:paraId="3BEC4D8F">
            <w:pPr>
              <w:spacing w:line="300" w:lineRule="exact"/>
              <w:jc w:val="left"/>
              <w:rPr>
                <w:rFonts w:hint="eastAsia" w:ascii="宋体" w:hAnsi="宋体" w:cs="宋体"/>
                <w:b/>
                <w:bCs/>
                <w:szCs w:val="21"/>
              </w:rPr>
            </w:pPr>
            <w:r>
              <w:rPr>
                <w:rFonts w:hint="eastAsia" w:ascii="方正仿宋_GBK" w:hAnsi="仿宋" w:eastAsia="方正仿宋_GBK" w:cs="仿宋"/>
                <w:bCs/>
              </w:rPr>
              <w:t>4.甲方组成验收小组按国家有关规定、规范进行验收，必要时邀请相关的专业人员或机构参与验收。因货物质量问题发生争议时，由本地质量技术监督部门鉴定。货物符合质量技术标准的，鉴定费由甲方承担；否则鉴定费由乙方承担</w:t>
            </w:r>
            <w:r>
              <w:rPr>
                <w:rFonts w:hint="eastAsia" w:ascii="方正仿宋_GBK" w:hAnsi="仿宋" w:eastAsia="方正仿宋_GBK" w:cs="仿宋"/>
                <w:b/>
              </w:rPr>
              <w:t>。</w:t>
            </w:r>
          </w:p>
        </w:tc>
      </w:tr>
    </w:tbl>
    <w:p w14:paraId="2D312B97"/>
    <w:p w14:paraId="2AA354EF"/>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Wingdings 2">
    <w:panose1 w:val="05020102010507070707"/>
    <w:charset w:val="02"/>
    <w:family w:val="roman"/>
    <w:pitch w:val="default"/>
    <w:sig w:usb0="00000000" w:usb1="00000000" w:usb2="00000000" w:usb3="00000000" w:csb0="80000000" w:csb1="00000000"/>
  </w:font>
  <w:font w:name="方正仿宋_GBK">
    <w:altName w:val="Arial Unicode MS"/>
    <w:panose1 w:val="03000509000000000000"/>
    <w:charset w:val="86"/>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 w:name="KSOFABDC8F89">
    <w:panose1 w:val="020B0604020202020204"/>
    <w:charset w:val="86"/>
    <w:family w:val="auto"/>
    <w:pitch w:val="default"/>
    <w:sig w:usb0="00000001" w:usb1="00000000" w:usb2="00000000" w:usb3="00000000" w:csb0="00040001" w:csb1="00000000"/>
  </w:font>
  <w:font w:name="方正仿宋_GBK">
    <w:altName w:val="Arial Unicode MS"/>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F74755"/>
    <w:multiLevelType w:val="singleLevel"/>
    <w:tmpl w:val="02F74755"/>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AEC7420"/>
    <w:rsid w:val="0AEC7420"/>
    <w:rsid w:val="1D3F1E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toc 1"/>
    <w:basedOn w:val="1"/>
    <w:next w:val="1"/>
    <w:qFormat/>
    <w:uiPriority w:val="39"/>
    <w:pPr>
      <w:spacing w:before="120" w:after="120"/>
      <w:jc w:val="left"/>
    </w:pPr>
    <w:rPr>
      <w:rFonts w:ascii="Calibri" w:hAnsi="Calibri" w:cs="Calibri"/>
      <w:b/>
      <w:bCs/>
      <w:caps/>
      <w:sz w:val="20"/>
      <w:szCs w:val="20"/>
    </w:rPr>
  </w:style>
  <w:style w:type="paragraph" w:styleId="3">
    <w:name w:val="Body Text"/>
    <w:basedOn w:val="1"/>
    <w:semiHidden/>
    <w:unhideWhenUsed/>
    <w:qFormat/>
    <w:uiPriority w:val="0"/>
    <w:pPr>
      <w:spacing w:after="120"/>
    </w:pPr>
  </w:style>
  <w:style w:type="paragraph" w:customStyle="1" w:styleId="6">
    <w:name w:val="表格文字"/>
    <w:basedOn w:val="1"/>
    <w:qFormat/>
    <w:uiPriority w:val="0"/>
    <w:pPr>
      <w:spacing w:line="300" w:lineRule="auto"/>
    </w:pPr>
    <w:rPr>
      <w:rFonts w:ascii="Times" w:hAnsi="Times"/>
      <w:spacing w:val="10"/>
      <w:kern w:val="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23</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2026-03-12T07:08:00Z</dcterms:created>
  <dc:creator>黄琳</dc:creator>
  <cp:lastModifiedBy>黄琳</cp:lastModifiedBy>
  <dcterms:modified xsi:type="dcterms:W3CDTF">2026-03-12T07:34:48Z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7C977AC7B8064A868F026FE23393E48D_11</vt:lpwstr>
  </property>
  <property fmtid="{D5CDD505-2E9C-101B-9397-08002B2CF9AE}" pid="4" name="KSOTemplateDocerSaveRecord">
    <vt:lpwstr>eyJoZGlkIjoiOWE3NmJmMjM3OGVjYjRhNzc5NWU5MmM3Njk4NjQ1NzkiLCJ1c2VySWQiOiI0NTY3MTcwNzUifQ==</vt:lpwstr>
  </property>
</Properties>
</file>